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Xunlei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American Depositary Shares, each representing five common shares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98419E108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w:t>
      </w:r>
    </w:p>
    <w:p>
      <w:pPr>
        <w:spacing w:after="0" w:line="46" w:lineRule="exact"/>
        <w:rPr>
          <w:sz w:val="24"/>
          <w:szCs w:val="24"/>
          <w:color w:val="auto"/>
        </w:rPr>
      </w:pPr>
    </w:p>
    <w:p>
      <w:pPr>
        <w:ind w:right="36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98419E108</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Morningside Technology Investments Limited</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spacing w:after="0"/>
              <w:rPr>
                <w:sz w:val="20"/>
                <w:szCs w:val="20"/>
                <w:color w:val="auto"/>
              </w:rPr>
            </w:pPr>
          </w:p>
        </w:tc>
        <w:tc>
          <w:tcPr>
            <w:tcW w:w="9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color w:val="auto"/>
                <w:w w:val="89"/>
              </w:rPr>
              <w:t>SEC use only</w:t>
            </w:r>
          </w:p>
        </w:tc>
        <w:tc>
          <w:tcPr>
            <w:tcW w:w="9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645,765 (See Item 4(a))</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9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645,765 (See Item 4(a))</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645,765 (See Item 4(a))</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0.19% (See Item 4(a) and 4(b))</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3540"/>
              <w:spacing w:after="0"/>
              <w:rPr>
                <w:sz w:val="20"/>
                <w:szCs w:val="20"/>
                <w:color w:val="auto"/>
              </w:rPr>
            </w:pPr>
            <w:r>
              <w:rPr>
                <w:rFonts w:ascii="Arial" w:cs="Arial" w:eastAsia="Arial" w:hAnsi="Arial"/>
                <w:sz w:val="18"/>
                <w:szCs w:val="18"/>
                <w:color w:val="auto"/>
              </w:rPr>
              <w:t>Page 2 of 6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1500" w:right="7640" w:hanging="1046"/>
        <w:spacing w:after="0" w:line="406" w:lineRule="auto"/>
        <w:tabs>
          <w:tab w:leader="none" w:pos="90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 of issuer: </w:t>
      </w:r>
      <w:r>
        <w:rPr>
          <w:rFonts w:ascii="Arial" w:cs="Arial" w:eastAsia="Arial" w:hAnsi="Arial"/>
          <w:sz w:val="17"/>
          <w:szCs w:val="17"/>
          <w:color w:val="auto"/>
        </w:rPr>
        <w:t>Xunlei Limited</w:t>
      </w: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4/F Haus Innovation Mansion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North Ring Road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 9018 High-Tech Path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Nanshan District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Shenzhen 518057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People’s Republic of China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2(a) Name of person filing:</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Morningside Technology Investments Limited</w:t>
      </w:r>
    </w:p>
    <w:p>
      <w:pPr>
        <w:spacing w:after="0" w:line="12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2nd Floor, Le Prince de Galles, 3-5 Avenue des Citronniers, MC 98000 Monaco</w:t>
      </w:r>
    </w:p>
    <w:p>
      <w:pPr>
        <w:spacing w:after="0" w:line="12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British Virgin Islands</w:t>
      </w:r>
    </w:p>
    <w:p>
      <w:pPr>
        <w:spacing w:after="0" w:line="12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American Depositary Shares, each representing five common shares, par value US$0.00025 per share</w:t>
      </w:r>
    </w:p>
    <w:p>
      <w:pPr>
        <w:spacing w:after="0" w:line="127" w:lineRule="exact"/>
        <w:rPr>
          <w:sz w:val="20"/>
          <w:szCs w:val="20"/>
          <w:color w:val="auto"/>
        </w:rPr>
      </w:pPr>
    </w:p>
    <w:p>
      <w:pPr>
        <w:ind w:left="1500" w:right="7920" w:hanging="1046"/>
        <w:spacing w:after="0" w:line="488" w:lineRule="auto"/>
        <w:tabs>
          <w:tab w:leader="none" w:pos="90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98419E108</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10" w:lineRule="exact"/>
        <w:rPr>
          <w:sz w:val="20"/>
          <w:szCs w:val="20"/>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Broker or dealer registered under Section 15 of the Act (15 U.S.C. 78o);</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Bank as defined in Section 3(a)(6) of the Act (15 U.S.C. 78c);</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Insurance company as defined in Section 3(a)(19) of the Act (15 U.S.C. 78c);</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An investment adviser in accordance with Rule 13d-1(b)(1)(ii)(E);</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An employee benefit plan or endowment fund in accordance with Rule 13d-1(b)(1)(ii)(F);</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 parent holding company or control person in accordance with Rule 13d-1(b)(1)(ii)(G);</w:t>
      </w:r>
    </w:p>
    <w:p>
      <w:pPr>
        <w:spacing w:after="0" w:line="117" w:lineRule="exact"/>
        <w:rPr>
          <w:rFonts w:ascii="Arial" w:cs="Arial" w:eastAsia="Arial" w:hAnsi="Arial"/>
          <w:sz w:val="18"/>
          <w:szCs w:val="18"/>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b w:val="1"/>
          <w:bCs w:val="1"/>
          <w:color w:val="auto"/>
        </w:rPr>
      </w:pPr>
    </w:p>
    <w:p>
      <w:pPr>
        <w:ind w:left="920" w:hanging="453"/>
        <w:spacing w:after="0" w:line="184" w:lineRule="exact"/>
        <w:tabs>
          <w:tab w:leader="none" w:pos="920" w:val="left"/>
        </w:tabs>
        <w:numPr>
          <w:ilvl w:val="0"/>
          <w:numId w:val="9"/>
        </w:numPr>
        <w:rPr>
          <w:rFonts w:ascii="Arial" w:cs="Arial" w:eastAsia="Arial" w:hAnsi="Arial"/>
          <w:sz w:val="16"/>
          <w:szCs w:val="16"/>
          <w:b w:val="1"/>
          <w:bCs w:val="1"/>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 church plan that is excluded from the definition of an investment company under Section 3(c)(14) of the Investment</w:t>
      </w:r>
    </w:p>
    <w:p>
      <w:pPr>
        <w:spacing w:after="0" w:line="80" w:lineRule="exact"/>
        <w:rPr>
          <w:rFonts w:ascii="Arial" w:cs="Arial" w:eastAsia="Arial" w:hAnsi="Arial"/>
          <w:sz w:val="16"/>
          <w:szCs w:val="16"/>
          <w:b w:val="1"/>
          <w:bCs w:val="1"/>
          <w:color w:val="auto"/>
        </w:rPr>
      </w:pPr>
    </w:p>
    <w:p>
      <w:pPr>
        <w:ind w:left="12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Company Act of 1940 (15 U.S.C. 80a-3);</w:t>
      </w:r>
    </w:p>
    <w:p>
      <w:pPr>
        <w:spacing w:after="0" w:line="68" w:lineRule="exact"/>
        <w:rPr>
          <w:rFonts w:ascii="Arial" w:cs="Arial" w:eastAsia="Arial" w:hAnsi="Arial"/>
          <w:sz w:val="16"/>
          <w:szCs w:val="16"/>
          <w:b w:val="1"/>
          <w:bCs w:val="1"/>
          <w:color w:val="auto"/>
        </w:rPr>
      </w:pPr>
    </w:p>
    <w:p>
      <w:pPr>
        <w:ind w:left="920" w:hanging="453"/>
        <w:spacing w:after="0" w:line="207" w:lineRule="exact"/>
        <w:tabs>
          <w:tab w:leader="none" w:pos="92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Group, in accordance with Rule 13d-1(b)(1)(ii)(J).</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3 of 6 Pages)</w:t>
      </w:r>
    </w:p>
    <w:p>
      <w:pPr>
        <w:sectPr>
          <w:pgSz w:w="11900" w:h="16838" w:orient="portrait"/>
          <w:cols w:equalWidth="0" w:num="1">
            <w:col w:w="10240"/>
          </w:cols>
          <w:pgMar w:left="240" w:top="270" w:right="141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1500" w:right="8280" w:hanging="1046"/>
        <w:spacing w:after="0" w:line="431" w:lineRule="auto"/>
        <w:tabs>
          <w:tab w:leader="none" w:pos="90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beneficially owned: </w:t>
      </w:r>
      <w:r>
        <w:rPr>
          <w:rFonts w:ascii="Arial" w:cs="Arial" w:eastAsia="Arial" w:hAnsi="Arial"/>
          <w:sz w:val="16"/>
          <w:szCs w:val="16"/>
          <w:color w:val="auto"/>
        </w:rPr>
        <w:t>645,765 shares</w:t>
      </w: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0.19% (based on 337,997,790 common shares outstanding as of March 31, 2016, as reported on the Form 6-K filed by the issuer on May</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12, 2016)</w:t>
      </w:r>
    </w:p>
    <w:p>
      <w:pPr>
        <w:spacing w:after="0" w:line="112" w:lineRule="exact"/>
        <w:rPr>
          <w:sz w:val="20"/>
          <w:szCs w:val="20"/>
          <w:color w:val="auto"/>
        </w:rPr>
      </w:pPr>
    </w:p>
    <w:p>
      <w:pPr>
        <w:ind w:left="900" w:hanging="446"/>
        <w:spacing w:after="0"/>
        <w:tabs>
          <w:tab w:leader="none" w:pos="9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30" w:lineRule="exact"/>
        <w:rPr>
          <w:rFonts w:ascii="Arial" w:cs="Arial" w:eastAsia="Arial" w:hAnsi="Arial"/>
          <w:sz w:val="18"/>
          <w:szCs w:val="18"/>
          <w:b w:val="1"/>
          <w:bCs w:val="1"/>
          <w:color w:val="auto"/>
        </w:rPr>
      </w:pPr>
    </w:p>
    <w:p>
      <w:pPr>
        <w:ind w:left="1880" w:right="6900" w:hanging="967"/>
        <w:spacing w:after="0" w:line="383" w:lineRule="auto"/>
        <w:tabs>
          <w:tab w:leader="none" w:pos="1472"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0</w:t>
      </w:r>
    </w:p>
    <w:p>
      <w:pPr>
        <w:spacing w:after="0" w:line="1" w:lineRule="exact"/>
        <w:rPr>
          <w:rFonts w:ascii="Arial" w:cs="Arial" w:eastAsia="Arial" w:hAnsi="Arial"/>
          <w:sz w:val="18"/>
          <w:szCs w:val="18"/>
          <w:b w:val="1"/>
          <w:bCs w:val="1"/>
          <w:color w:val="auto"/>
        </w:rPr>
      </w:pPr>
    </w:p>
    <w:p>
      <w:pPr>
        <w:ind w:left="1880" w:right="6680" w:hanging="967"/>
        <w:spacing w:after="0" w:line="383" w:lineRule="auto"/>
        <w:tabs>
          <w:tab w:leader="none" w:pos="1472"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645,765 shares*</w:t>
      </w:r>
    </w:p>
    <w:p>
      <w:pPr>
        <w:spacing w:after="0" w:line="1" w:lineRule="exact"/>
        <w:rPr>
          <w:rFonts w:ascii="Arial" w:cs="Arial" w:eastAsia="Arial" w:hAnsi="Arial"/>
          <w:sz w:val="18"/>
          <w:szCs w:val="18"/>
          <w:b w:val="1"/>
          <w:bCs w:val="1"/>
          <w:color w:val="auto"/>
        </w:rPr>
      </w:pPr>
    </w:p>
    <w:p>
      <w:pPr>
        <w:ind w:left="1880" w:right="5960" w:hanging="967"/>
        <w:spacing w:after="0" w:line="383" w:lineRule="auto"/>
        <w:tabs>
          <w:tab w:leader="none" w:pos="1472"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w:t>
      </w:r>
    </w:p>
    <w:p>
      <w:pPr>
        <w:spacing w:after="0" w:line="1" w:lineRule="exact"/>
        <w:rPr>
          <w:rFonts w:ascii="Arial" w:cs="Arial" w:eastAsia="Arial" w:hAnsi="Arial"/>
          <w:sz w:val="18"/>
          <w:szCs w:val="18"/>
          <w:b w:val="1"/>
          <w:bCs w:val="1"/>
          <w:color w:val="auto"/>
        </w:rPr>
      </w:pPr>
    </w:p>
    <w:p>
      <w:pPr>
        <w:ind w:left="1880" w:right="5740" w:hanging="967"/>
        <w:spacing w:after="0" w:line="407" w:lineRule="auto"/>
        <w:tabs>
          <w:tab w:leader="none" w:pos="1472"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645,765 shares*</w:t>
      </w:r>
    </w:p>
    <w:p>
      <w:pPr>
        <w:spacing w:after="0" w:line="8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The family trust that is the ultimate beneficial owner of Morningside Technology Investments Limited is controlled by a board of trustees.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17" w:lineRule="exact"/>
        <w:rPr>
          <w:sz w:val="20"/>
          <w:szCs w:val="20"/>
          <w:color w:val="auto"/>
        </w:rPr>
      </w:pPr>
    </w:p>
    <w:p>
      <w:pPr>
        <w:ind w:left="1500" w:right="320"/>
        <w:spacing w:after="0" w:line="235" w:lineRule="exact"/>
        <w:rPr>
          <w:sz w:val="20"/>
          <w:szCs w:val="20"/>
          <w:color w:val="auto"/>
        </w:rPr>
      </w:pPr>
      <w:r>
        <w:rPr>
          <w:rFonts w:ascii="Arial" w:cs="Arial" w:eastAsia="Arial" w:hAnsi="Arial"/>
          <w:sz w:val="18"/>
          <w:szCs w:val="18"/>
          <w:b w:val="1"/>
          <w:bCs w:val="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ind w:left="920" w:right="6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 of 6 Pages)</w:t>
      </w:r>
    </w:p>
    <w:p>
      <w:pPr>
        <w:sectPr>
          <w:pgSz w:w="11900" w:h="16838" w:orient="portrait"/>
          <w:cols w:equalWidth="0" w:num="1">
            <w:col w:w="11340"/>
          </w:cols>
          <w:pgMar w:left="240" w:top="270" w:right="31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jc w:val="center"/>
        <w:ind w:right="7980"/>
        <w:spacing w:after="0"/>
        <w:tabs>
          <w:tab w:leader="none" w:pos="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jc w:val="center"/>
        <w:ind w:right="800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500"/>
        <w:spacing w:after="0" w:line="312" w:lineRule="auto"/>
        <w:rPr>
          <w:sz w:val="20"/>
          <w:szCs w:val="20"/>
          <w:color w:val="auto"/>
        </w:rPr>
      </w:pPr>
      <w:r>
        <w:rPr>
          <w:rFonts w:ascii="Arial" w:cs="Arial" w:eastAsia="Arial" w:hAnsi="Arial"/>
          <w:sz w:val="16"/>
          <w:szCs w:val="16"/>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5 of 6 Pages)</w:t>
      </w:r>
    </w:p>
    <w:p>
      <w:pPr>
        <w:sectPr>
          <w:pgSz w:w="11900" w:h="16838" w:orient="portrait"/>
          <w:cols w:equalWidth="0" w:num="1">
            <w:col w:w="11280"/>
          </w:cols>
          <w:pgMar w:left="240" w:top="270" w:right="37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Morningside Technology Investments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 Louise Mary Garbarino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Louise Mary Garbarino, Authorized Signatory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6 of 6 Pages)</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2019-12-08T20:10:20Z</dcterms:created>
  <dcterms:modified xsi:type="dcterms:W3CDTF">2019-12-08T20:10:20Z</dcterms:modified>
</cp:coreProperties>
</file>