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2"/>
          <w:szCs w:val="12"/>
          <w:b w:val="1"/>
          <w:bCs w:val="1"/>
          <w:color w:val="auto"/>
        </w:rPr>
        <w:t>unlei</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imited</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3709 Baishi Road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Nanshan District, Shenzhen 518000</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Christine Dietz</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Ms. Chen Chen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Re:</w:t>
        <w:tab/>
        <w:t>Xunlei Limited (the “Company”)</w:t>
      </w:r>
    </w:p>
    <w:p>
      <w:pPr>
        <w:spacing w:after="0" w:line="31"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Form 20-F for the fiscal year ended December 31, 2023</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Response dated September 6, 2024</w:t>
      </w:r>
    </w:p>
    <w:p>
      <w:pPr>
        <w:spacing w:after="0" w:line="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File No. 001-35224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349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Dietz and Ms. Chen,</w:t>
      </w:r>
    </w:p>
    <w:p>
      <w:pPr>
        <w:spacing w:after="0" w:line="221" w:lineRule="exact"/>
        <w:rPr>
          <w:sz w:val="24"/>
          <w:szCs w:val="24"/>
          <w:color w:val="auto"/>
        </w:rPr>
      </w:pPr>
    </w:p>
    <w:p>
      <w:pPr>
        <w:ind w:right="440" w:firstLine="648"/>
        <w:spacing w:after="0" w:line="257" w:lineRule="auto"/>
        <w:rPr>
          <w:sz w:val="20"/>
          <w:szCs w:val="20"/>
          <w:color w:val="auto"/>
        </w:rPr>
      </w:pPr>
      <w:r>
        <w:rPr>
          <w:rFonts w:ascii="Times New Roman" w:cs="Times New Roman" w:eastAsia="Times New Roman" w:hAnsi="Times New Roman"/>
          <w:sz w:val="18"/>
          <w:szCs w:val="18"/>
          <w:color w:val="auto"/>
        </w:rPr>
        <w:t>The Company has received the letter dated December 10, 2024 (the “</w:t>
      </w:r>
      <w:r>
        <w:rPr>
          <w:rFonts w:ascii="Times New Roman" w:cs="Times New Roman" w:eastAsia="Times New Roman" w:hAnsi="Times New Roman"/>
          <w:sz w:val="18"/>
          <w:szCs w:val="18"/>
          <w:b w:val="1"/>
          <w:bCs w:val="1"/>
          <w:color w:val="auto"/>
        </w:rPr>
        <w:t>Letter</w:t>
      </w:r>
      <w:r>
        <w:rPr>
          <w:rFonts w:ascii="Times New Roman" w:cs="Times New Roman" w:eastAsia="Times New Roman" w:hAnsi="Times New Roman"/>
          <w:sz w:val="18"/>
          <w:szCs w:val="18"/>
          <w:color w:val="auto"/>
        </w:rPr>
        <w:t>”)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regarding the Company’s annual report on Form 20-F for the fiscal year ended December 31, 2023 filed with the Commission on April 23, 2024 (the “</w:t>
      </w:r>
      <w:r>
        <w:rPr>
          <w:rFonts w:ascii="Times New Roman" w:cs="Times New Roman" w:eastAsia="Times New Roman" w:hAnsi="Times New Roman"/>
          <w:sz w:val="18"/>
          <w:szCs w:val="18"/>
          <w:b w:val="1"/>
          <w:bCs w:val="1"/>
          <w:color w:val="auto"/>
        </w:rPr>
        <w:t>2023 Form 20-F</w:t>
      </w:r>
      <w:r>
        <w:rPr>
          <w:rFonts w:ascii="Times New Roman" w:cs="Times New Roman" w:eastAsia="Times New Roman" w:hAnsi="Times New Roman"/>
          <w:sz w:val="18"/>
          <w:szCs w:val="18"/>
          <w:color w:val="auto"/>
        </w:rPr>
        <w:t>”) and the Company’s correspondence filed with the Commission on September 6, 2024. The Company has previously submitted a letter on December 18, 2024 to the Staff to request an extension to the deadline for responding to the Letter to January 9, 2025. Subsequently, the Company has submitted a letter on January 6, 2025 to the Staff to request a further extension to the deadline for responding to the Letter to January 23, 2025.</w:t>
      </w:r>
    </w:p>
    <w:p>
      <w:pPr>
        <w:spacing w:after="0" w:line="186"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requests an additional extension of the deadline for responding to the Letter due to the additional time required to gather sufficient information and prepare thorough responses and the upcoming Chinese New Year holiday. The Company will provide its response to the Letter as soon as possible prior, no later than February 28, 2025.</w:t>
      </w:r>
    </w:p>
    <w:p>
      <w:pPr>
        <w:spacing w:after="0" w:line="17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additional questions or comments regarding the 2023 Form 20-F, please contact the undersigned at zhounaijiang@xunlei.com or the Company’s U.S. counsel, Haiping Li of Skadden, Arps, Slate, Meagher &amp; Flom LLP, at +86 21 6193 8210 or haiping.li@skadden.com.</w:t>
      </w:r>
    </w:p>
    <w:p>
      <w:pPr>
        <w:spacing w:after="0" w:line="37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Xunlei Limited</w:t>
      </w:r>
    </w:p>
    <w:p>
      <w:pPr>
        <w:spacing w:after="0" w:line="22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Naijiang (Eric) Zhou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Naijiang (Eric) Zhou</w:t>
      </w:r>
    </w:p>
    <w:p>
      <w:pPr>
        <w:spacing w:after="0" w:line="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4"/>
          <w:szCs w:val="24"/>
          <w:color w:val="auto"/>
        </w:rPr>
      </w:pPr>
    </w:p>
    <w:p>
      <w:pPr>
        <w:ind w:left="580" w:right="4880" w:hanging="572"/>
        <w:spacing w:after="0" w:line="312" w:lineRule="auto"/>
        <w:tabs>
          <w:tab w:leader="none" w:pos="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Jinbo Li, Chairman of the Board and Chief Executive Officer, Xunlei Limited Haiping Li, Esq., Partner, Skadden, Arps, Slate, Meagher &amp; Flom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44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2025-03-31T23:08:47Z</dcterms:created>
  <dcterms:modified xsi:type="dcterms:W3CDTF">2025-03-31T23:08:47Z</dcterms:modified>
</cp:coreProperties>
</file>