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7705d1_6k.htm"/>
      <w:bookmarkStart w:id="1" w:name="kstm2517705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Xunlei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3709 Baishi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Nanshan District, Shenzhen, 518000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517705d1_ex99-1.htm">
        <w:r>
          <w:rPr>
            <w:rStyle w:val="InternetLink"/>
            <w:rFonts w:ascii="Times New Roman;Times;Serif" w:hAnsi="Times New Roman;Times;Serif"/>
            <w:b w:val="false"/>
            <w:i w:val="false"/>
            <w:caps w:val="false"/>
            <w:smallCaps w:val="false"/>
            <w:sz w:val="20"/>
          </w:rPr>
          <w:t>Exhibit 99.1—Press Release— Xunlei Announces Investee Company Completes IPO on Shanghai Stock Exchange STAR Market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545"/>
        <w:gridCol w:w="2285"/>
      </w:tblGrid>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b/>
                <w:sz w:val="20"/>
              </w:rPr>
            </w:pPr>
            <w:r>
              <w:rPr>
                <w:b/>
                <w:sz w:val="20"/>
              </w:rPr>
              <w:t>Xunlei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pPr>
            <w:r>
              <w:rPr/>
              <w:t>/s/ Naijiang (Eric) Zhou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Naijiang (Eric) Zhou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517705d1_ex99-1.htm"/>
      <w:bookmarkStart w:id="3" w:name="kstm251770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Announces Investee Company Completes IPO on Shanghai Stock Exchange STAR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June 11, 2025 — Xunlei Limited (“Xunlei” or the “Company”) (Nasdaq: XNET), a leading technology company providing distributed cloud services in China, today announced that its investee company, Arashi Vision Inc. (“Arashi Vision”, also known as Insta360), has completed its initial public offering on the Shanghai Stock Exchange STAR Market under the stock ticker 688775 on June 11, 2025. As of the date of this press release, Xunlei holds approximately 7.8% the equity interest in Arashi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Xunlei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2003, Xunlei Limited (Nasdaq: XNET) is a leading technology company providing distributed cloud services in China. Xunlei provides a wide range of products and services across cloud acceleration, shared cloud computing and digital entertainment to deliver an efficient, smart and safe internet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“believes,” “estimates” and similar statements. Among other things, the management’s quotations, the “Outlook” and “Guidance” sections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risk that COVID-19 or other health risks in China or globally could adversely affect the Company’s operations or financial results;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ir@xunlei.com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+86 755 8633 8443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http://ir.xunlei.com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646</Words>
  <Characters>3793</Characters>
  <CharactersWithSpaces>4455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