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Xunlei Limited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3709 Baishi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Nanshan District, Shenzhen, 518000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2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Xunlei Limited Announces Completion of Disposition of Majority Equity Interest in Shenzhen Onething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Naijiang (Eric) Zhou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Naijiang (Eric) Zhou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 Announces Completion of Disposition of Majority Equity Interest in Shenzhen Onething</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SHENZHEN, China, March 16, 2026 — Xunlei Limited (“</w:t>
      </w:r>
      <w:r>
        <w:rPr>
          <w:rFonts w:ascii="Times New Roman" w:cs="Times New Roman" w:eastAsia="Times New Roman" w:hAnsi="Times New Roman"/>
          <w:sz w:val="18"/>
          <w:szCs w:val="18"/>
          <w:b w:val="1"/>
          <w:bCs w:val="1"/>
          <w:color w:val="auto"/>
        </w:rPr>
        <w:t>Xunlei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(Nasdaq: XNET), a leading technology company providing distributed cloud services in China, today announced that all conditions precedent to the disposition of a majority equity interest in Shenzhen Onething Technology Co., Ltd. (“</w:t>
      </w:r>
      <w:r>
        <w:rPr>
          <w:rFonts w:ascii="Times New Roman" w:cs="Times New Roman" w:eastAsia="Times New Roman" w:hAnsi="Times New Roman"/>
          <w:sz w:val="18"/>
          <w:szCs w:val="18"/>
          <w:b w:val="1"/>
          <w:bCs w:val="1"/>
          <w:color w:val="auto"/>
        </w:rPr>
        <w:t>Shenzhen Onething</w:t>
      </w:r>
      <w:r>
        <w:rPr>
          <w:rFonts w:ascii="Times New Roman" w:cs="Times New Roman" w:eastAsia="Times New Roman" w:hAnsi="Times New Roman"/>
          <w:sz w:val="18"/>
          <w:szCs w:val="18"/>
          <w:color w:val="auto"/>
        </w:rPr>
        <w:t>”), as previously announced on March 3, 2026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have been satisfied and accordingly, the Transaction has successfully closed.</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Company’s variable interest entity in China, Shenzhen Xunlei Networking Technologies Co., Ltd. (</w:t>
      </w:r>
      <w:r>
        <w:rPr>
          <w:rFonts w:ascii="Times New Roman" w:cs="Times New Roman" w:eastAsia="Times New Roman" w:hAnsi="Times New Roman"/>
          <w:sz w:val="18"/>
          <w:szCs w:val="18"/>
          <w:b w:val="1"/>
          <w:bCs w:val="1"/>
          <w:color w:val="auto"/>
        </w:rPr>
        <w:t>“Shenzhen Xunle</w:t>
      </w:r>
      <w:r>
        <w:rPr>
          <w:rFonts w:ascii="Times New Roman" w:cs="Times New Roman" w:eastAsia="Times New Roman" w:hAnsi="Times New Roman"/>
          <w:sz w:val="18"/>
          <w:szCs w:val="18"/>
          <w:color w:val="auto"/>
        </w:rPr>
        <w:t>i”), has transferred 20% and 30% of the equity interest in Shenzhen Onething to Wuhan Kingsoft Cloud Information Technology Co., Ltd., for a cash consideration of RMB50 million (inclusive of tax), and to Shenzhen Xinghan Zhilian Technology Co., Ltd., for a cash consideration of RMB75 million (inclusive of tax), respectively. Upon completion of the Transaction, Shenzhen Xunlei retains a 20% equity interest in Shenzhen Onething.</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Transaction is expected to optimize the Company’s resource allocation and business portfolio while allowing the Company to retain a minority stake and participate in Shenzhen Onething’s future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Xunlei</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Founded in 2003, Xunlei Limited (Nasdaq: XNET) is a leading technology company providing distributed cloud services in China. Xunlei provides a wide range of products and services across cloud acceleration, shared cloud computing and digital entertainment to deliver an efficient, smart and safe internet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“believes,” “anticipates,” “future,” “intends,” “plans,” “believes,” “estimates” and similar statements. Among other things, the Company’s business outlook, the Company’s strategic, operational, disposition, and acquisition plans, and plans and other applicable descriptions concerning the Transaction, contain forward-looking statements. These forward-looking statements involve known and unknown risks and uncertainties and are based on current expectations, assumptions, estimates and projections about the Company and the industry. Forward-looking statements involve inherent risks and uncertainties, including but not limited to: the Company’s ability to continue to innovate and provide attractive products and services to retain and grow its user base; the Company’s ability to keep up with technological developments and users’ changing demands in the internet industry; the Company’s ability to convert its users into subscribers of its premium services; the Company’s ability to deal with existing and potential copyright infringement claims and other related claims; the risk that health risks in China or globally could adversely affect the Company’s operations or financial results; the Company’s ability to react to the governmental actions for its scrutiny of internet content in China, the Company’s ability to compete effectively.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All information provided in this press release is as of the date of the press release, and the Company undertakes no obligation to update any forward-looking statements to reflect subsequent occurring events or circumstances, or changes in its expectations, except as may be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ir@xunlei.com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+86 755 8633 8443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http://ir.xunlei.com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2026-03-16T07:32:24Z</dcterms:created>
  <dcterms:modified xsi:type="dcterms:W3CDTF">2026-03-16T07:32:24Z</dcterms:modified>
</cp:coreProperties>
</file>