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515228d1_6k.htm"/>
      <w:bookmarkStart w:id="1" w:name="kstm2515228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May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001-35224</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Xunlei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3709 Baishi Road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Nanshan District, Shenzhen, 518000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People’s Republic of China</w:t>
        <w:b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m2515228d1_ex99-1.htm">
        <w:r>
          <w:rPr>
            <w:rStyle w:val="InternetLink"/>
            <w:rFonts w:ascii="Times New Roman;Times;Serif" w:hAnsi="Times New Roman;Times;Serif"/>
            <w:b w:val="false"/>
            <w:i w:val="false"/>
            <w:caps w:val="false"/>
            <w:smallCaps w:val="false"/>
            <w:sz w:val="20"/>
          </w:rPr>
          <w:t>Exhibit 99.1—Press Release— Xunlei Announces Unaudited Financial Results for the First Quarter Ended March 31, 2025</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545"/>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Xunlei Limited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195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Naijiang (Eric) Zhou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Naijiang (Eric) Zhou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15,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2" w:name="tm2515228d1_ex99-1.htm"/>
      <w:bookmarkStart w:id="3" w:name="kstm2515228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jc w:val="left"/>
        <w:rPr/>
      </w:pPr>
      <w:r>
        <w:rPr/>
        <w:drawing>
          <wp:inline distT="0" distB="0" distL="0" distR="0">
            <wp:extent cx="68580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 cy="342900"/>
                    </a:xfrm>
                    <a:prstGeom prst="rect">
                      <a:avLst/>
                    </a:prstGeom>
                  </pic:spPr>
                </pic:pic>
              </a:graphicData>
            </a:graphic>
          </wp:inline>
        </w:drawing>
      </w: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XUNLEI ANNOUNCES UNAUDITED FINANCIAL RESULTS FOR THE FIRST QUARTER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Shenzhen, China, May 15, 2025 (GLOBE NEWSWIRE) - Xunlei Limited ("Xunlei" or the "Company") (Nasdaq: XNET), a leading technology company providing distributed cloud services in China, today announced its unaudited financial results for the first quarter ended March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2025 Financial Highlights:</w:t>
      </w:r>
    </w:p>
    <w:p>
      <w:pPr>
        <w:pStyle w:val="TextBody"/>
        <w:bidi w:val="0"/>
        <w:spacing w:before="0" w:after="0"/>
        <w:ind w:left="0" w:right="0" w:hanging="0"/>
        <w:jc w:val="both"/>
        <w:rPr>
          <w:caps w:val="false"/>
          <w:smallCaps w:val="false"/>
        </w:rPr>
      </w:pPr>
      <w:r>
        <w:rPr>
          <w:caps w:val="false"/>
          <w:smallCaps w:val="false"/>
        </w:rPr>
        <w:t> </w:t>
      </w:r>
    </w:p>
    <w:tbl>
      <w:tblPr>
        <w:tblW w:w="8613" w:type="dxa"/>
        <w:jc w:val="left"/>
        <w:tblInd w:w="0" w:type="dxa"/>
        <w:tblLayout w:type="fixed"/>
        <w:tblCellMar>
          <w:top w:w="0" w:type="dxa"/>
          <w:left w:w="0" w:type="dxa"/>
          <w:bottom w:w="0" w:type="dxa"/>
          <w:right w:w="0" w:type="dxa"/>
        </w:tblCellMar>
      </w:tblPr>
      <w:tblGrid>
        <w:gridCol w:w="38"/>
        <w:gridCol w:w="170"/>
        <w:gridCol w:w="8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revenues were US$88.8 million, representing an increase of 10.5% year-over-year.</w:t>
            </w:r>
          </w:p>
        </w:tc>
      </w:tr>
    </w:tbl>
    <w:p>
      <w:pPr>
        <w:pStyle w:val="TextBody"/>
        <w:bidi w:val="0"/>
        <w:spacing w:before="0" w:after="0"/>
        <w:ind w:left="720" w:right="0" w:hanging="0"/>
        <w:jc w:val="both"/>
        <w:rPr>
          <w:caps w:val="false"/>
          <w:smallCaps w:val="false"/>
        </w:rPr>
      </w:pPr>
      <w:r>
        <w:rPr>
          <w:caps w:val="false"/>
          <w:smallCaps w:val="false"/>
        </w:rPr>
        <w:t> </w:t>
      </w:r>
    </w:p>
    <w:tbl>
      <w:tblPr>
        <w:tblW w:w="9183" w:type="dxa"/>
        <w:jc w:val="left"/>
        <w:tblInd w:w="0" w:type="dxa"/>
        <w:tblLayout w:type="fixed"/>
        <w:tblCellMar>
          <w:top w:w="0" w:type="dxa"/>
          <w:left w:w="0" w:type="dxa"/>
          <w:bottom w:w="0" w:type="dxa"/>
          <w:right w:w="0" w:type="dxa"/>
        </w:tblCellMar>
      </w:tblPr>
      <w:tblGrid>
        <w:gridCol w:w="38"/>
        <w:gridCol w:w="170"/>
        <w:gridCol w:w="8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Subscription revenues were US$35.7 million, representing an increase of 7.7% year-over-year.</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Live-streaming and other services revenues were US$28.4 million, representing an increase of 66.0% year-over-year.</w:t>
            </w:r>
          </w:p>
        </w:tc>
      </w:tr>
    </w:tbl>
    <w:p>
      <w:pPr>
        <w:pStyle w:val="TextBody"/>
        <w:bidi w:val="0"/>
        <w:spacing w:before="0" w:after="0"/>
        <w:ind w:left="720" w:right="0" w:hanging="0"/>
        <w:jc w:val="both"/>
        <w:rPr>
          <w:caps w:val="false"/>
          <w:smallCaps w:val="false"/>
        </w:rPr>
      </w:pPr>
      <w:r>
        <w:rPr>
          <w:caps w:val="false"/>
          <w:smallCaps w:val="false"/>
        </w:rPr>
        <w:t> </w:t>
      </w:r>
    </w:p>
    <w:tbl>
      <w:tblPr>
        <w:tblW w:w="9693" w:type="dxa"/>
        <w:jc w:val="left"/>
        <w:tblInd w:w="0" w:type="dxa"/>
        <w:tblLayout w:type="fixed"/>
        <w:tblCellMar>
          <w:top w:w="0" w:type="dxa"/>
          <w:left w:w="0" w:type="dxa"/>
          <w:bottom w:w="0" w:type="dxa"/>
          <w:right w:w="0" w:type="dxa"/>
        </w:tblCellMar>
      </w:tblPr>
      <w:tblGrid>
        <w:gridCol w:w="38"/>
        <w:gridCol w:w="170"/>
        <w:gridCol w:w="9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Cloud computing revenues were US$24.7 million, representing a decrease of 18.0% year-over-year.</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Gross profit was US$44.1 million, representing an increase of 2.9% year-over-year, and gross profit margin was 49.7% in the first quarter, compared with 53.3% in the same period of 2024.</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 was US$0.9 million in the first quarter, compared with net income of US$3.6 million in the same period of 2024.</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Non-GAAP net income</w:t>
            </w:r>
            <w:r>
              <w:rPr>
                <w:rFonts w:ascii="Times New Roman;Times;Serif" w:hAnsi="Times New Roman;Times;Serif"/>
                <w:position w:val="8"/>
                <w:sz w:val="19"/>
              </w:rPr>
              <w:t>1</w:t>
            </w:r>
            <w:r>
              <w:rPr>
                <w:rFonts w:ascii="Times New Roman;Times;Serif" w:hAnsi="Times New Roman;Times;Serif"/>
              </w:rPr>
              <w:t xml:space="preserve"> was US$0.1 million in the first quarter, compared with non-GAAP net income of US$4.5 million in the same period of 2024.</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Diluted loss per ADS was US$0.01 in the first quarter, compared with diluted earnings per ADS of US$0.06 in the same period of 2024.</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Non-GAAP diluted earnings per ADS</w:t>
            </w:r>
            <w:r>
              <w:rPr>
                <w:rFonts w:ascii="Times New Roman;Times;Serif" w:hAnsi="Times New Roman;Times;Serif"/>
                <w:position w:val="8"/>
                <w:sz w:val="19"/>
              </w:rPr>
              <w:t>2</w:t>
            </w:r>
            <w:r>
              <w:rPr>
                <w:rFonts w:ascii="Times New Roman;Times;Serif" w:hAnsi="Times New Roman;Times;Serif"/>
              </w:rPr>
              <w:t xml:space="preserve"> were US$0.004 in the first quarter, compared with non-GAAP diluted earnings per ADS of US$0.07 in the same period of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quarterly revenue was in line with our expectations, and we achieved consistent top-line growth of 10.5% year-over-year in total revenues to US$88.8 million in the first quarter of 2025," commented Mr. Jinbo Li, Chairman and Chief Executive Officer of Xunlei. "Notably, our subscription revenue increased by 7.7% year-over-year, primarily due to intensified efforts in diversifying marketing channels for user acquisition. Additionally, the 79.2% year-over-year growth in revenue from our live-streaming business reflected a recovery and an expansion of our market presence overseas. I believe the result underscores our strategic efforts to adapt to international markets, leveraging localized operation and innovative technologies to meet diverse user preferences.”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t>“</w:t>
      </w:r>
      <w:r>
        <w:rPr>
          <w:rFonts w:ascii="Times New Roman;Times;Serif" w:hAnsi="Times New Roman;Times;Serif"/>
          <w:sz w:val="20"/>
        </w:rPr>
        <w:t>This year will be pivotal for Xunlei, marked by the strategic acquisition of Hupu and proactive exploration of corporate development initiatives aimed at diversifying revenue streams to achieve sustainable growth in both top-line and bottom-line. Supported by our strong capital structure and ample financial liquidity, we remain committed to delivering value to users while harnessing our outstanding technological capabilities and operational expertise to capitalize on</w:t>
      </w:r>
      <w:r>
        <w:rPr>
          <w:sz w:val="20"/>
        </w:rPr>
        <w:t xml:space="preserve"> AI-driven applications and other new opportunities, and to create long-term value for shareholders," Mr. Li concluded.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Non-GAAP net income is a non-GAAP financial measure. For more information, please see the section of “About Non-GAAP Financial Measures” and the table captioned “Reconciliation of GAAP and Non-GAAP Results” contained in this press release.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Non-GAAP earnings per ADS is a non-GAAP financial measure. For more information, please see the section of “About Non-GAAP Financial Measures” and the table captioned “Reconciliation of GAAP and Non-GAAP Results” contained in this press release.</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2025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 were US$88.8 million, representing an increase of 10.5% year-over-year. The increase in total revenues was mainly attributable to the increased revenues generated from our subscription business and overseas audio live-streaming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subscription were US$35.7 million, representing an increase of 7.7% year-over-year. The increase in subscription revenues was mainly driven by the increase in the number of subscribers. The number of subscribers was 6.04 million as of March 31, 2025, compared with 5.76 million as of March 31, 2024. The average revenue per subscriber for the first quarter was RMB40.9, compared with RMB39.5 in the same period of 2024. The higher average revenue per subscriber was due to the increased proportion of premium subscribers which have higher average revenue per subscriber.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live-streaming and other services were US$28.4 million, representing an increase of 66.0% year-over-year. The increase in live-streaming and other services revenues was mainly due to the increase in revenues from our overseas audio live-streaming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cloud computing were US$24.7 million, representing a decrease of 18.0% year-over-year. The decrease in cloud computing revenues was mainly due to the reduced sales of our cloud computing services and hardware devices as a result of heightened competition, pricing pressure and evolving regulatory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Costs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revenues were US$44.4 million, representing 50.0% of our total revenues, compared with US$37.1 million, or 46.2% of the total revenues, in the same period of 2024. The increase in costs of revenues was mainly attributable to the increase in revenue-sharing expenses in our overseas audio live-streaming operations, generally in line with the growth in live-streaming and other service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Bandwidth costs, as included in costs of revenues, were US$26.6 million, representing 30.0% of our total revenues, compared with US$27.1 million, or 33.8% of the total revenues, in the same period of 2024. The decrease in bandwidth costs was primarily due to the reduced sales of our cloud computing services during the quarter, partially offset by the increased usage of Xunlei Cloud as a result of the increased subscribers.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costs of revenues mainly consisted of costs related to the revenue-sharing costs for our live streaming business and payment handling charges.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 and Gross Profit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the first quarter of 2025 was US$44.1 million, representing an increase of 2.9% year-over-year. Gross profit margin was 49.7% in the first quarter of 2025, compared with 53.3% in the same period of 2024. The increase in gross profit was mainly driven by the increase in gross profit generated from our overseas audio live-streaming business and subscription business. The decrease in gross profit margin was mainly attributable to the decreased gross profit margin of cloud computing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for the first quarter of 2025 were US$18.7 million, representing 21.1% of our total revenues, compared with US$17.6 million, or 22.0% of our total revenues, in the same period of 2024. The increase was primarily due to the increased labor costs incurred during the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for the first quarter of 2025 were US$15.5 million, representing 17.5% of our total revenues, compared with US$10.1 million, or 12.5% of our total revenues, in the same period of 2024. The increase was primarily due to more marketing expenses incurred during the quarter for our subscription and overseas audio live-streaming businesses as part of our ongoing efforts on user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first quarter of 2025 were US$11.8 million, representing 13.3% of our total revenues, compared with US$11.1 million, or 13.9% of our total revenues, in the same period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(Loss)/Income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 was US$1.9 million, compared with an operating income of US$4.0 million in the same period of 2024. The decrease in operating income was primarily attributable to the decrease in gross profit margin and the increase in sales and marketing expenses during the quarter, compared with the same period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was US$1.2 million, compared with other income, net of US$0.3 million in the same period of 2024. The increase was primarily due to impairment on one of our long-term investments that occurred during the first quarter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(Loss)/Income and (Loss)/Earnings Per ADS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was US$0.9 million compared with net income of US$3.6 million in the same period of 2024. The net loss was primarily due to the increase in operating loss, partially offset by the increased other income as discussed above. Non-GAAP net income was US$0.1 million in the first quarter of 2025, compared with US$4.5 million in the same period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loss per ADS in the first quarter of 2025 was US$0.01, compared with diluted earnings per ADS of US$0.06 in the first quarter of 2024. Non-GAAP diluted earnings per ADS was US$0.004 in the first quarter, compared with non-GAAP diluted earnings per ADS of US$0.07 in the same period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the Company had cash, cash equivalents and short-term investments of US$274.6 million, compared with US$287.5 million as of December 31, 2024. The decrease in cash, cash equivalents and short-term investments was mainly due to the first tranche of payment for the acquisition of Hupu, spending on share repurchase and repayment of bank loans during the quarter, partially offset by the net cash inflow from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4, 2024, Xunlei announced that its Board of Directors had authorized a new plan for the repurchase of up to US$20 million of its ADSs or shares over the 12 months that followed. As of March 31, 2025, the Company had spent US$6.5 million on share buybacks under the new share repurchase program, among which US$0.9 million was spent in the first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Guidance for the Second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second quarter of 2025, Xunlei estimates total revenues to be between US$91 million and US$96 million, and the midpoint of the range represents a quarter-over-quarter increase of approximately 5.3%. This estimate represents management's preliminary view as of the date of this press release, which is subject to change and any change could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Xunlei's management will host a conference call at 8:00 a.m. U.S. Eastern Time on May 15, 2025 (8:00 p.m. Beijing/Hong Kong Time), to discuss the Company's quarterly results and recent business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Online Registration: https://register-conf.media-server.com/register/BIe31316b11951413ca6026dd0a7227b38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register to join the conference using the link provided above and dial in 10 minutes before the call is scheduled to begin. Once registered, the participants will receive an email with personal PIN and dial-in information, and participants can choose to access either via Dial-In or Call Me. A kindly reminder that "Call Me" does not work for China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also broadcast a live audio webcast of the conference call. The webcast will be available at http://ir.xunlei.com. Following the earnings conference call, an archive of the call will be available at https://edge.media-server.com/mmc/p/vrett8r2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Xunlei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2003, Xunlei Limited (Nasdaq: XNET) is a leading technology company providing distributed cloud services in China. Xunlei provides a wide range of products and services across cloud acceleration, shared cloud computing and digital entertainment to deliver an efficient, smart and safe internet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of a forward-looking nature. These statements are made under the "safe harbor" provisions of the U.S. Private Securities Litigation Reform Act of 1995. You can identify these forward-looking statements by terminology such as "will," "expects," "believes," "anticipates," "future," "intends," "plans," "estimates" and similar statements. Among other things, the management's quotations and the "Guidance" section in this press release, as well as the Company's strategic, operational and acquisition plans, contain forward-looking statements. These forward-looking statements involve known and unknown risks and uncertainties and are based on current expectations, assumptions, estimates and projections about the Company and the industry. Forward-looking statements involve inherent risks and uncertainties, including but not limited to: the Company's ability to continue to innovate and provide attractive products and services to retain and grow its user base; the Company's ability to keep up with technological developments and users' changing demands in the internet industry; the Company's ability to convert its users into subscribers of its premium services; the Company's ability to deal with existing and potential copyright infringement claims and other related claims; the Company’s ability to react to the governmental actions for its scrutiny of internet content in China and the Company's ability to compete effectively. Although the Company believes that the expectations expressed in these forward-looking statements are reasonable, it cannot assure you that its expectations will turn out to be correct, and investors are cautioned that actual results may differ materially from the anticipated results. Further information regarding risks and uncertainties faced by the Company is included in the Company's filings with the U.S. Securities and Exchange Commission. All information provided in this press release is as of the date of the press release, and the Company undertakes no obligation to update any forward-looking statements to reflect subsequent occurring events or circumstances, or changes in its expectations, except as may be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Xunlei's consolidated financial results presented in accordance with United States Generally Accepted Accounting Principles ("GAAP"), Xunlei uses the following measures defined as non-GAAP financial measures by the United States Securities and Exchange Commission: (1) non-GAAP operating (loss)/income, (2) non-GAAP net income, (3) non-GAAP basic and diluted earnings per share for common shares, and (4) non-GAAP basic and diluted earnings per ADS. The presentation of the non-GAAP financial information is not intended to be considered in isolation or as a substitute for the financial information prepared and presented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Xunlei believes that these non-GAAP financial measures provide meaningful supplemental information to investors regarding the Company's operating performance by excluding share-based compensation expenses and impairment loss of goodwill, which are not expected to result in future cash payments. These non-GAAP financial measures also facilitate management's internal comparisons to Xunlei's historical performance and assist the Company's financial and operational decision making. A limitation of using these non-GAAP financial measures is that these non-GAAP measures exclude certain items that have been and will continue to be for the foreseeable future a recurring expense in Xunlei's results of operations. Management compensates for these limitations by providing specific information regarding the GAAP amounts excluded from each non-GAAP measure. The accompanying reconciliation tables at the end of this release include details on the reconciliations between GAAP financial measures that are most directly comparable to the non-GAAP financial measures the Company has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XUNLEI LIMITED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CONDENSED CONSOLIDATED BALANCE SHEETS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expressed in thousands of USD, except for share, per share (or ADS) data)</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8173"/>
        <w:gridCol w:w="60"/>
        <w:gridCol w:w="60"/>
        <w:gridCol w:w="861"/>
        <w:gridCol w:w="80"/>
        <w:gridCol w:w="60"/>
        <w:gridCol w:w="60"/>
        <w:gridCol w:w="755"/>
        <w:gridCol w:w="96"/>
      </w:tblGrid>
      <w:tr>
        <w:trPr/>
        <w:tc>
          <w:tcPr>
            <w:tcW w:w="81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61"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 31,</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1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6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1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61"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17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8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75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817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8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75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8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163,136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177,329</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110,209</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32,662</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1,255</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from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31,519</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10,058</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7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361,576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363,032</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817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81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30,599</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10,528</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54,631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55,430</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8,310</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prepayments and 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5,334</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7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485,860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473,901</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8173"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8173"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817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22,964</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7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related parties, 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7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39,936</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7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7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9,386</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7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 and other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52,093</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7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bank borrowings and current portion of long-term bank borrowings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2,087</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73"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138,906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126,736</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73"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8173"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817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non-current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7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non-current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7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1,154</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7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borrowings, non-current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27,127</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73"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168,635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156,116</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817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8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 (US$0.00025 par value, 1,000,000,000 shares authorized, 375,001,940 shares issued and 307,351,196 shares outstanding as at December 31, 2024; 375,001,940 issued and 311,860,331 shares outstanding as at March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 (67,650,744 shares and 63,141,609 shares as at December 31, 2024 and March 31,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477,350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477,244</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reserves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8,718</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(21,694</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1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(147,105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(146,305</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17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Xunlei Limited's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317,645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318,056</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7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(271</w:t>
            </w:r>
          </w:p>
        </w:tc>
        <w:tc>
          <w:tcPr>
            <w:tcW w:w="9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817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485,860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473,901</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XUNLEI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(Loss)/Income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expressed in thousands of USD, except for share, per share (or ADS) data)</w:t>
      </w:r>
    </w:p>
    <w:p>
      <w:pPr>
        <w:pStyle w:val="TextBody"/>
        <w:bidi w:val="0"/>
        <w:spacing w:before="0" w:after="0"/>
        <w:ind w:left="0" w:right="0" w:hanging="0"/>
        <w:jc w:val="left"/>
        <w:rPr>
          <w:caps w:val="false"/>
          <w:smallCaps w:val="false"/>
        </w:rPr>
      </w:pPr>
      <w:r>
        <w:rPr>
          <w:caps w:val="false"/>
          <w:smallCaps w:val="false"/>
        </w:rPr>
        <w:t> </w:t>
      </w:r>
    </w:p>
    <w:tbl>
      <w:tblPr>
        <w:tblW w:w="9320" w:type="dxa"/>
        <w:jc w:val="left"/>
        <w:tblInd w:w="0" w:type="dxa"/>
        <w:tblLayout w:type="fixed"/>
        <w:tblCellMar>
          <w:top w:w="0" w:type="dxa"/>
          <w:left w:w="0" w:type="dxa"/>
          <w:bottom w:w="0" w:type="dxa"/>
          <w:right w:w="0" w:type="dxa"/>
        </w:tblCellMar>
      </w:tblPr>
      <w:tblGrid>
        <w:gridCol w:w="5540"/>
        <w:gridCol w:w="60"/>
        <w:gridCol w:w="60"/>
        <w:gridCol w:w="1055"/>
        <w:gridCol w:w="80"/>
        <w:gridCol w:w="60"/>
        <w:gridCol w:w="60"/>
        <w:gridCol w:w="1055"/>
        <w:gridCol w:w="80"/>
        <w:gridCol w:w="60"/>
        <w:gridCol w:w="60"/>
        <w:gridCol w:w="1055"/>
        <w:gridCol w:w="95"/>
      </w:tblGrid>
      <w:tr>
        <w:trPr/>
        <w:tc>
          <w:tcPr>
            <w:tcW w:w="5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565" w:type="dxa"/>
            <w:gridSpan w:val="9"/>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net of rebates and discounts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88,764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84,302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80,359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taxes and surcharges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88,454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83,989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79,980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(37,139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44,104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43,573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42,841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(18,743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(17,642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(15,522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(10,061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(11,791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loss write-back/(expenses),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(20,748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(45,991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(64,102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(38,809</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(loss)/income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(1,887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(20,529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4,032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Income/(loss)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(17,954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5,301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(expense)/benefit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(9,871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3,638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net loss attributable to non-controlling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(loss)/income attributable to common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(9,774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3,639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(Loss)/earnings per share for common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0.0113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0.0112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(Loss)/earnings per ADS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(0.1560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0.0565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(0.1560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0.0560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common shares used in calculating: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306,082,940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313,664,089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323,341,607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306,082,940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313,664,089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323,491,768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ADSs used in calculating: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61,216,588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62,732,818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64,668,321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61,216,588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62,732,818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64,698,354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XUNLEI LIMITED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Reconciliation of GAAP and Non-GAAP Results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expressed in thousands of USD, except for share, per share (or ADS) data)</w:t>
      </w:r>
    </w:p>
    <w:p>
      <w:pPr>
        <w:pStyle w:val="TextBody"/>
        <w:bidi w:val="0"/>
        <w:spacing w:before="0" w:after="283"/>
        <w:jc w:val="left"/>
        <w:rPr/>
      </w:pPr>
      <w:r>
        <w:rPr/>
        <w:t> </w:t>
      </w:r>
    </w:p>
    <w:tbl>
      <w:tblPr>
        <w:tblW w:w="9300" w:type="dxa"/>
        <w:jc w:val="left"/>
        <w:tblInd w:w="0" w:type="dxa"/>
        <w:tblLayout w:type="fixed"/>
        <w:tblCellMar>
          <w:top w:w="0" w:type="dxa"/>
          <w:left w:w="0" w:type="dxa"/>
          <w:bottom w:w="0" w:type="dxa"/>
          <w:right w:w="0" w:type="dxa"/>
        </w:tblCellMar>
      </w:tblPr>
      <w:tblGrid>
        <w:gridCol w:w="5540"/>
        <w:gridCol w:w="60"/>
        <w:gridCol w:w="60"/>
        <w:gridCol w:w="1055"/>
        <w:gridCol w:w="80"/>
        <w:gridCol w:w="60"/>
        <w:gridCol w:w="60"/>
        <w:gridCol w:w="1055"/>
        <w:gridCol w:w="80"/>
        <w:gridCol w:w="60"/>
        <w:gridCol w:w="60"/>
        <w:gridCol w:w="1055"/>
        <w:gridCol w:w="75"/>
      </w:tblGrid>
      <w:tr>
        <w:trPr/>
        <w:tc>
          <w:tcPr>
            <w:tcW w:w="5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565" w:type="dxa"/>
            <w:gridSpan w:val="9"/>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operating (loss)/income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(20,529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goodwill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operating (loss)/income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net (loss)/income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4,539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 (loss)/earnings per share for common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0.0113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0.0112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 (loss)/earnings per ADS: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(0.1560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0.0565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(0.1560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0.0560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earnings per share for common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earnings per ADS: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0.1810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0.1810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common shares used in calculating: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306,082,940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313,664,089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323,341,607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306,082,940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313,664,089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323,491,768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ADSs used in calculating: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61,216,588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62,732,818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64,668,321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61,216,588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62,732,818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64,698,354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Xunlei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ir@xunlei.com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+86 755 6111 1571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Website: http://ir.xunlei.com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3203</Words>
  <Characters>18445</Characters>
  <CharactersWithSpaces>22363</CharactersWithSpaces>
  <Paragraphs>1746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